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255</w:t>
      </w:r>
    </w:p>
    <w:p>
      <w:r>
        <w:t>Bundesgericht (BGE), 1972-11-14, DE</w:t>
      </w:r>
    </w:p>
    <w:p>
      <w:r>
        <w:rPr>
          <w:b/>
        </w:rPr>
        <w:t xml:space="preserve">Quelle: </w:t>
      </w:r>
      <w:r>
        <w:t>https://mcp.opencaselaw.ch/entscheid/bge_98 V 255</w:t>
      </w:r>
    </w:p>
    <w:p>
      <w:r>
        <w:t>FR: ATF 98 V 255</w:t>
      </w:r>
    </w:p>
    <w:p>
      <w:r>
        <w:t>IT: DTF 98 V 255</w:t>
      </w:r>
    </w:p>
    <w:p>
      <w:pPr>
        <w:pStyle w:val="Heading2"/>
      </w:pPr>
      <w:r>
        <w:t>Regeste</w:t>
      </w:r>
    </w:p>
    <w:p>
      <w:r>
        <w:t>Regeste Der Abruf der gemäss Art. 39 AHVG aufgeschobenen Rente hat keine Rückwirkung. Bedeutung der auf Irrtum beruhenden Willenserklärung im Verwaltungsrecht.</w:t>
      </w:r>
    </w:p>
    <w:p>
      <w:pPr>
        <w:pStyle w:val="Heading2"/>
      </w:pPr>
      <w:r>
        <w:t>Erwägungen</w:t>
      </w:r>
    </w:p>
    <w:p>
      <w:r>
        <w:rPr>
          <w:b/>
        </w:rPr>
        <w:t>E. 1</w:t>
      </w:r>
    </w:p>
    <w:p>
      <w:r>
        <w:t>Nach Art. 39 Abs. 1 AHVG können Personen, die Anspruch auf eine ordentliche Altersrente haben, den Beginn des Rentenbezuges mindestens ein Jahr und höchstens fünf Jahre aufschieben und innerhalb dieser Frist die Rente nach freier Wahl im voraus von einem bestimmten Monat an BGE 98 V 255 S. 257 abrufen. Wird eine aufgeschobene Rente abgerufen, so wird sie vom folgenden Monat an ausbezahlt; eine Nachzahlung von Renten ist ausgeschlossen ( Art. 55quater Abs. 3 AHVV ). Nach Art. 39 Abs. 2 AHVG wird die aufgeschobene Altersrente um den versicherungsmässigen Gegenwert der nicht bezogenen Leistung erhöht. Zutreffend bemerkt dazu das Bundesamt, dass der versicherungsmässige Gegenwert nicht nur den Gegenwert der Leistungen beinhaltet, auf die ein einzelner Rentner vorher verzichtet hat, sondern auch einen durchschnittlichen Anteil an den Beträgen, die infolge Hinschieds anderer Rentenbezüger innerhalb der Aufschubsdauer nicht ausbezahlt worden sind. Dieser Anteil kann nur berechnet werden, wenn eine Wahl zwischen Nachzahlung oder Zuschlag ausgeschlossen ist. Andernfalls könnte jeder Rentner, der ursprünglich den Rentenaufschub verlangt hat, kurz vor seinem Tod noch die Nachzahlung verlangen. Der versicherungsmässige Gegenwert liesse sich bei einer Wahlmöglichkeit betreffend die Festsetzung und Auszahlung der Rente nicht ermitteln, weshalb diese nach Art. 55quater Abs. 3 AHVV ausgeschlossen ist. Dieser Ausschluss ist somit versicherungstechnisch begründet und nicht als Schikane gegenüber dem Rentner zu betrachten, welcher den Aufschub verlangt hat.</w:t>
      </w:r>
    </w:p>
    <w:p>
      <w:r>
        <w:rPr>
          <w:b/>
        </w:rPr>
        <w:t>E. 2</w:t>
      </w:r>
    </w:p>
    <w:p>
      <w:r>
        <w:t>Es stellt sich die Frage, ob die Beschwerdeführerin seinerzeit irrtümlich den Rentenaufschub verlangt hat und nun nachträglich die Auszahlung der nicht aufgeschobenen Altersrente von der Vollendung ihres 62. Altersjahres hinweg verlangen kann. Wie aus den Briefen der Schweizerischen Botschaft vom 6. März und 12. Mai 1970 an die Beschwerdeführerin hervorgeht, wurde diese eindeutig und klar über die Bedeutung des Rentenaufschubs und insbesondere darüber orientiert, dass sie für die Dauer des Aufschubs keine rückwirkenden Rentenzahlungen würde verlangen können. Es ist schwer verständlich, dass die Versicherte in diesem Punkt geirrt haben soll. Aber selbst wenn dies zuträfe, so vermöchte sie daraus doch nichts zu ihren Gunsten abzuleiten, wie sich aus folgenden Darlegungen ergibt. Nicht nur im Privatrecht, sondern auch im Verwaltungsrecht können auf Irrtum beruhende Willensmängel von rechtserheblicher Bedeutung sein. Die Erheblichkeit von Willensmängeln im Verwaltungsrecht ergibt sich aus einem allgemeinen Rechtsgrundsatz BGE 98 V 255 S. 258 und nicht aus direkter oder analogieweiser Geltung des Privatrechts (GRISEL, Droit administratif suisse, S. 40). Regelmässig ist der Willensmangel aber nur dann zu beachten, wenn der zugrunde liegende Irrtum nicht von der Person, an die sich der beanstandete Verwaltungsakt richtet, verschuldet worden ist (vgl. BGE 97 V 160 ). Dieser Fall ist hier nicht gegeben. Hätte nämlich die Beschwerdeführerin besonders das Schreiben der Schweizerischen Botschaft vom 12. Mai 1970 mit gebührender Aufmerksamkeit gelesen, so hätte sie ohne weiteres erkennen können, dass sie mit Beendigung des Rentenaufschubs keine nachträglichen Rentenzahlungen für die zurückliegende Zeit zwischen Anfang und Ende des Rentenaufschubs würde beanspruchen können. Sie muss deshalb ihre seinerzeitige Willenserklärung über den Rentenaufschub, die von der Schweizerischen Ausgleichskasse am 5. Mai 1970 noch schriftlich bestätigt worden ist, gegen sich gelten lassen. Übrigens machte die Ausgleichskasse sie bei diesem Anlass nochmals darauf aufmerksam, dass "die Rente von dem dem Abruf folgenden Monat an zugesprochen" werde, wenn keine Mitteilung eingehe, von welchem Datum hinweg künftig die Rente ausbezahlt werden solle. Dem Bundesamt ist auch darin beizupflichten, dass es sich um einen Rechtsirrtum handeln würde, wenn sich die Beschwerdeführerin über die rechtliche Tragweite ihrer Willenserklärung vom 19. März 1970 geirrt hätte. Nach einem allgemeinen Grundsatz kann aber niemand aus der eigenen Rechtsunkenntnis Rechte zu seinen Gunsten ableiten (ZAK 1968 S. 642)...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